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579A" w14:textId="77777777" w:rsidR="00AF0B25" w:rsidRPr="00D06D70" w:rsidRDefault="00AF0B25" w:rsidP="00AF0B25">
      <w:pPr>
        <w:tabs>
          <w:tab w:val="left" w:pos="5245"/>
          <w:tab w:val="left" w:pos="5387"/>
        </w:tabs>
        <w:ind w:left="5387"/>
      </w:pPr>
      <w:r w:rsidRPr="00D06D70">
        <w:t>PATVIRTINTA</w:t>
      </w:r>
    </w:p>
    <w:p w14:paraId="277D8F01" w14:textId="77777777" w:rsidR="00AF0B25" w:rsidRPr="00D06D70" w:rsidRDefault="00AF0B25" w:rsidP="00AF0B25">
      <w:pPr>
        <w:tabs>
          <w:tab w:val="left" w:pos="5387"/>
        </w:tabs>
        <w:ind w:left="5387"/>
        <w:jc w:val="both"/>
      </w:pPr>
      <w:r w:rsidRPr="00D06D70">
        <w:t xml:space="preserve">Rokiškio rajono savivaldybės tarybos </w:t>
      </w:r>
    </w:p>
    <w:p w14:paraId="16E3EDF6" w14:textId="796042B2" w:rsidR="00AF0B25" w:rsidRPr="00D06D70" w:rsidRDefault="00AF0B25" w:rsidP="00AF0B25">
      <w:pPr>
        <w:tabs>
          <w:tab w:val="left" w:pos="5387"/>
        </w:tabs>
        <w:ind w:left="5387"/>
        <w:jc w:val="both"/>
      </w:pPr>
      <w:r w:rsidRPr="00D06D70">
        <w:t>2024 m. vasario 15 d. sprendimu Nr. TS-</w:t>
      </w:r>
    </w:p>
    <w:p w14:paraId="77C8A23F" w14:textId="77777777" w:rsidR="00D620E4" w:rsidRPr="00D06D70" w:rsidRDefault="00D620E4" w:rsidP="00EF27FB">
      <w:pPr>
        <w:tabs>
          <w:tab w:val="left" w:pos="5245"/>
          <w:tab w:val="left" w:pos="5387"/>
        </w:tabs>
        <w:ind w:left="5387"/>
      </w:pPr>
    </w:p>
    <w:p w14:paraId="7ECB2FF0" w14:textId="77777777" w:rsidR="00D620E4" w:rsidRPr="00D06D70" w:rsidRDefault="00D620E4" w:rsidP="00D620E4">
      <w:pPr>
        <w:rPr>
          <w:b/>
          <w:lang w:eastAsia="lt-LT"/>
        </w:rPr>
      </w:pPr>
    </w:p>
    <w:p w14:paraId="53FB04EB" w14:textId="18F02E0C" w:rsidR="00D620E4" w:rsidRPr="00D06D70" w:rsidRDefault="00D620E4" w:rsidP="00D620E4">
      <w:pPr>
        <w:jc w:val="center"/>
        <w:rPr>
          <w:b/>
          <w:sz w:val="20"/>
          <w:lang w:eastAsia="lt-LT"/>
        </w:rPr>
      </w:pPr>
      <w:r w:rsidRPr="00D06D70">
        <w:rPr>
          <w:b/>
          <w:lang w:eastAsia="lt-LT"/>
        </w:rPr>
        <w:t>ROKIŠKIO RAJONO SAVIVALDYBĖS ŪKIO LĖŠŲ, SKIRIAMŲ IŠ VALSTYBĖS BIUDŽETO SPECIALIŲ TIKSLINIŲ DOTACIJŲ SAVIVALDYBĖS MOKYKLAI (KLASĖMS ARBA GRUPĖMS), TURINČIOMS SPECALIŲJŲ UGDYMOSI POREIKIŲ MOKINIŲ, APSKAIČIAVIMO, SKYRIMO, PANAUDOJIMO IR KONTROLĖS TVARKOS APRAŠAS</w:t>
      </w:r>
    </w:p>
    <w:p w14:paraId="5FF89997" w14:textId="77777777" w:rsidR="00D620E4" w:rsidRPr="00D06D70" w:rsidRDefault="00D620E4" w:rsidP="00D620E4">
      <w:pPr>
        <w:jc w:val="center"/>
        <w:rPr>
          <w:b/>
          <w:lang w:eastAsia="lt-LT"/>
        </w:rPr>
      </w:pPr>
    </w:p>
    <w:p w14:paraId="5F29171C" w14:textId="77777777" w:rsidR="00D620E4" w:rsidRPr="00D06D70" w:rsidRDefault="00D620E4" w:rsidP="00D620E4">
      <w:pPr>
        <w:jc w:val="center"/>
        <w:rPr>
          <w:b/>
          <w:lang w:eastAsia="lt-LT"/>
        </w:rPr>
      </w:pPr>
    </w:p>
    <w:p w14:paraId="46688488" w14:textId="77777777" w:rsidR="00D620E4" w:rsidRPr="00D06D70" w:rsidRDefault="00D620E4" w:rsidP="00D620E4">
      <w:pPr>
        <w:jc w:val="center"/>
        <w:rPr>
          <w:b/>
          <w:lang w:eastAsia="lt-LT"/>
        </w:rPr>
      </w:pPr>
      <w:r w:rsidRPr="00D06D70">
        <w:rPr>
          <w:b/>
          <w:lang w:eastAsia="lt-LT"/>
        </w:rPr>
        <w:t>I SKYRIUS</w:t>
      </w:r>
    </w:p>
    <w:p w14:paraId="32B13CCF" w14:textId="77777777" w:rsidR="00D620E4" w:rsidRPr="00D06D70" w:rsidRDefault="00D620E4" w:rsidP="00D620E4">
      <w:pPr>
        <w:ind w:firstLine="62"/>
        <w:jc w:val="center"/>
        <w:rPr>
          <w:b/>
          <w:lang w:eastAsia="lt-LT"/>
        </w:rPr>
      </w:pPr>
      <w:r w:rsidRPr="00D06D70">
        <w:rPr>
          <w:b/>
          <w:lang w:eastAsia="lt-LT"/>
        </w:rPr>
        <w:t>BENDROSIOS NUOSTATOS</w:t>
      </w:r>
    </w:p>
    <w:p w14:paraId="54769E26" w14:textId="77777777" w:rsidR="00D620E4" w:rsidRPr="00D06D70" w:rsidRDefault="00D620E4" w:rsidP="00D620E4">
      <w:pPr>
        <w:rPr>
          <w:b/>
          <w:lang w:eastAsia="lt-LT"/>
        </w:rPr>
      </w:pPr>
    </w:p>
    <w:p w14:paraId="659E068C" w14:textId="77777777" w:rsidR="00D620E4" w:rsidRPr="00D06D70" w:rsidRDefault="00D620E4" w:rsidP="00D620E4">
      <w:pPr>
        <w:ind w:firstLine="720"/>
        <w:jc w:val="both"/>
        <w:rPr>
          <w:lang w:eastAsia="lt-LT"/>
        </w:rPr>
      </w:pPr>
      <w:r w:rsidRPr="00D06D70">
        <w:rPr>
          <w:lang w:eastAsia="lt-LT"/>
        </w:rPr>
        <w:t xml:space="preserve">1. Ūkio lėšų, skiriamų iš Lietuvos Respublikos atitinkamų metų valstybės biudžeto specialių tikslinių dotacijų savivaldybės biudžetui, skyrimo savivaldybės mokyklai (klasėms arba grupėms), skirtų mokiniams, turintiems specialiųjų ugdymosi poreikių, apskaičiavimo, skyrimo, panaudojimo ir kontrolės tvarkos aprašas (toliau – Aprašas) reglamentuoja ūkio lėšų, skiriamų iš Lietuvos Respublikos atitinkamų metų valstybės specialių tikslinių dotacijų savivaldybės biudžetui, skyrimo savivaldybės mokyklai (klasėms arba grupėms), turinčioms specialiųjų ugdymosi poreikių mokinių (toliau – mokiniai), skyrimo, panaudojimo ir kontrolės tvarką. </w:t>
      </w:r>
      <w:r w:rsidRPr="00D06D70">
        <w:rPr>
          <w:b/>
          <w:lang w:eastAsia="lt-LT"/>
        </w:rPr>
        <w:t xml:space="preserve">       </w:t>
      </w:r>
      <w:r w:rsidRPr="00D06D70">
        <w:rPr>
          <w:lang w:eastAsia="lt-LT"/>
        </w:rPr>
        <w:t xml:space="preserve">  </w:t>
      </w:r>
    </w:p>
    <w:p w14:paraId="7A6E1487" w14:textId="643528A6" w:rsidR="00D620E4" w:rsidRDefault="00D620E4" w:rsidP="00D620E4">
      <w:pPr>
        <w:ind w:firstLine="720"/>
        <w:jc w:val="both"/>
        <w:rPr>
          <w:lang w:eastAsia="lt-LT"/>
        </w:rPr>
      </w:pPr>
      <w:r w:rsidRPr="00D06D70">
        <w:rPr>
          <w:lang w:eastAsia="lt-LT"/>
        </w:rPr>
        <w:t>2. Ūkio lėšos skiriamos savivaldybės mokyklai (klasėms ar grupėms), atitinkančioms Mokyklų, vykdančių formaliojo švietimo programas, tinklo kūrimo taisyklėse, patvirtintose Lietuvos Respublikos Vyriausybės 2011 m. birželio 29 d. nutarimu Nr. 768 „Dėl Mokyklų, vykdančių formaliojo švietimo programas, tinklo kūrimo taisyklių patvirtinimo</w:t>
      </w:r>
      <w:r w:rsidR="00D06D70" w:rsidRPr="00D06D70">
        <w:rPr>
          <w:lang w:eastAsia="lt-LT"/>
        </w:rPr>
        <w:t>”</w:t>
      </w:r>
      <w:r w:rsidRPr="00D06D70">
        <w:rPr>
          <w:lang w:eastAsia="lt-LT"/>
        </w:rPr>
        <w:t>, nustatytą paskirtį ir kriterijus savivaldybės specialiajai mokyklai (specialiosioms klasėms arba grupėms), specialiojo ugdymo centrui, kuriose visiems šios mokyklos mokiniams pedagoginių psichologinių tarnybų arba švietimo pagalbos tarnybų nustatyti dideli arba labai dideli specialieji ugdymosi poreikiai.</w:t>
      </w:r>
    </w:p>
    <w:p w14:paraId="6C167FEB" w14:textId="77777777" w:rsidR="00D620E4" w:rsidRPr="00D06D70" w:rsidRDefault="00D620E4" w:rsidP="00D620E4">
      <w:pPr>
        <w:jc w:val="center"/>
        <w:rPr>
          <w:b/>
          <w:lang w:eastAsia="lt-LT"/>
        </w:rPr>
      </w:pPr>
    </w:p>
    <w:p w14:paraId="36364465" w14:textId="77777777" w:rsidR="00D620E4" w:rsidRPr="00D06D70" w:rsidRDefault="00D620E4" w:rsidP="00D620E4">
      <w:pPr>
        <w:jc w:val="center"/>
        <w:rPr>
          <w:b/>
          <w:lang w:eastAsia="lt-LT"/>
        </w:rPr>
      </w:pPr>
      <w:r w:rsidRPr="00D06D70">
        <w:rPr>
          <w:b/>
          <w:lang w:eastAsia="lt-LT"/>
        </w:rPr>
        <w:t>II SKYRIUS</w:t>
      </w:r>
    </w:p>
    <w:p w14:paraId="5AEAB16E" w14:textId="77777777" w:rsidR="00D620E4" w:rsidRPr="00D06D70" w:rsidRDefault="00D620E4" w:rsidP="00D620E4">
      <w:pPr>
        <w:ind w:firstLine="62"/>
        <w:jc w:val="center"/>
        <w:rPr>
          <w:b/>
          <w:lang w:eastAsia="lt-LT"/>
        </w:rPr>
      </w:pPr>
      <w:r w:rsidRPr="00D06D70">
        <w:rPr>
          <w:b/>
          <w:lang w:eastAsia="lt-LT"/>
        </w:rPr>
        <w:t>ŪKIO LĖŠŲ APSKAIČIAVIMAS, SKYRIMAS IR PANAUDOJIMAS</w:t>
      </w:r>
    </w:p>
    <w:p w14:paraId="78A5A186" w14:textId="77777777" w:rsidR="00D620E4" w:rsidRPr="00D06D70" w:rsidRDefault="00D620E4" w:rsidP="00D620E4">
      <w:pPr>
        <w:jc w:val="both"/>
        <w:rPr>
          <w:b/>
          <w:lang w:eastAsia="lt-LT"/>
        </w:rPr>
      </w:pPr>
    </w:p>
    <w:p w14:paraId="498EC435" w14:textId="5DAD681B" w:rsidR="00235514" w:rsidRPr="00D06D70" w:rsidRDefault="00D620E4" w:rsidP="00235514">
      <w:pPr>
        <w:ind w:firstLine="720"/>
        <w:jc w:val="both"/>
        <w:rPr>
          <w:lang w:eastAsia="lt-LT"/>
        </w:rPr>
      </w:pPr>
      <w:r w:rsidRPr="00D06D70">
        <w:rPr>
          <w:lang w:eastAsia="lt-LT"/>
        </w:rPr>
        <w:t xml:space="preserve">3. </w:t>
      </w:r>
      <w:r w:rsidR="00235514">
        <w:rPr>
          <w:lang w:eastAsia="lt-LT"/>
        </w:rPr>
        <w:t>Mokyklų, kurioms atitinkamais metais skiriama ūkio lėšų, sąrašą tvirtina Švietimo, mokslo ir sporto ministras.</w:t>
      </w:r>
    </w:p>
    <w:p w14:paraId="05328659" w14:textId="050A071D" w:rsidR="00D620E4" w:rsidRPr="00D06D70" w:rsidRDefault="00D620E4" w:rsidP="00D620E4">
      <w:pPr>
        <w:ind w:firstLine="720"/>
        <w:jc w:val="both"/>
        <w:rPr>
          <w:lang w:eastAsia="lt-LT"/>
        </w:rPr>
      </w:pPr>
      <w:r w:rsidRPr="00D06D70">
        <w:rPr>
          <w:lang w:eastAsia="lt-LT"/>
        </w:rPr>
        <w:t>Ūkio lėšos, tenkančios vienam mokiniui metams, apskaičiuojamos pagal formules, taikant Lietuvos Respublikos Vyriausybės 2012 m. gruodžio 12 d. nutarimu Nr. 1516 „Dėl Ūkio lėšų, skiriamų iš Lietuvos Respublikos atitinkamų metų valstybės biudžeto specialių tikslinių dotacijų savivaldybių biudžetams, skyrimo savivaldybių mokykloms (klasėms arba grupėms), skirtoms šalies (regiono) mokiniams, turintiems specialiųjų ugdymosi poreikių, metodikos</w:t>
      </w:r>
      <w:r w:rsidR="00D06D70" w:rsidRPr="00D06D70">
        <w:rPr>
          <w:lang w:eastAsia="lt-LT"/>
        </w:rPr>
        <w:t xml:space="preserve"> </w:t>
      </w:r>
      <w:r w:rsidRPr="00D06D70">
        <w:rPr>
          <w:lang w:eastAsia="lt-LT"/>
        </w:rPr>
        <w:t>patvirtinim</w:t>
      </w:r>
      <w:r w:rsidR="00D06D70" w:rsidRPr="00D06D70">
        <w:rPr>
          <w:lang w:eastAsia="lt-LT"/>
        </w:rPr>
        <w:t>o</w:t>
      </w:r>
      <w:r w:rsidRPr="00D06D70">
        <w:rPr>
          <w:lang w:eastAsia="lt-LT"/>
        </w:rPr>
        <w:t>“</w:t>
      </w:r>
      <w:r w:rsidR="00D06D70" w:rsidRPr="00D06D70">
        <w:rPr>
          <w:lang w:eastAsia="lt-LT"/>
        </w:rPr>
        <w:t xml:space="preserve">, </w:t>
      </w:r>
      <w:r w:rsidRPr="00D06D70">
        <w:rPr>
          <w:lang w:eastAsia="lt-LT"/>
        </w:rPr>
        <w:t>patvirtintos metodikos priede nustatytus rodiklius.</w:t>
      </w:r>
    </w:p>
    <w:p w14:paraId="7E58B0C3" w14:textId="77777777" w:rsidR="00D620E4" w:rsidRPr="00D06D70" w:rsidRDefault="00D620E4" w:rsidP="00D620E4">
      <w:pPr>
        <w:ind w:firstLine="720"/>
        <w:jc w:val="both"/>
        <w:rPr>
          <w:lang w:eastAsia="lt-LT"/>
        </w:rPr>
      </w:pPr>
      <w:r w:rsidRPr="00D06D70">
        <w:rPr>
          <w:lang w:eastAsia="lt-LT"/>
        </w:rPr>
        <w:t xml:space="preserve">4. Ūkio lėšos savivaldybės mokyklai (klasėms ar grupėms) skiriamos Lietuvos Respublikos švietimo, mokslo ir sporto ministro įsakymu iš atitinkamų metų Lietuvos Respublikos valstybės biudžeto (toliau – valstybės biudžetas), atsižvelgiant į mokinių, kurie mokosi nurodytose mokyklose (klasėse ar grupėse), skaičių ir ūkio lėšas, tenkančias vienam mokiniui metams. </w:t>
      </w:r>
    </w:p>
    <w:p w14:paraId="2B821E07" w14:textId="77777777" w:rsidR="00D620E4" w:rsidRPr="00D06D70" w:rsidRDefault="00D620E4" w:rsidP="00D620E4">
      <w:pPr>
        <w:ind w:firstLine="720"/>
        <w:jc w:val="both"/>
        <w:rPr>
          <w:lang w:eastAsia="lt-LT"/>
        </w:rPr>
      </w:pPr>
      <w:r w:rsidRPr="00D06D70">
        <w:rPr>
          <w:lang w:eastAsia="lt-LT"/>
        </w:rPr>
        <w:t>5. Ūkio lėšos Lietuvos Respublikos švietimo, mokslo ir sporto ministro įsakymu paskirstomos pagal mokyklas, savivaldybė lėšų tarp mokyklų neperskirsto.</w:t>
      </w:r>
    </w:p>
    <w:p w14:paraId="39C6CFAE" w14:textId="312BA5E7" w:rsidR="00D620E4" w:rsidRPr="00D06D70" w:rsidRDefault="00D620E4" w:rsidP="00D620E4">
      <w:pPr>
        <w:ind w:firstLine="720"/>
        <w:jc w:val="both"/>
        <w:rPr>
          <w:lang w:eastAsia="lt-LT"/>
        </w:rPr>
      </w:pPr>
      <w:r w:rsidRPr="00D06D70">
        <w:rPr>
          <w:lang w:eastAsia="lt-LT"/>
        </w:rPr>
        <w:t>6. Ūkio lėšos mokykloms skiriamos ir gali būti naudojamos pagal sudarytas ir patvirtintas metų sąmatas:</w:t>
      </w:r>
    </w:p>
    <w:p w14:paraId="1B1A1796" w14:textId="6287119A" w:rsidR="00D620E4" w:rsidRPr="00D06D70" w:rsidRDefault="00D620E4" w:rsidP="00D620E4">
      <w:pPr>
        <w:ind w:firstLine="720"/>
        <w:jc w:val="both"/>
        <w:rPr>
          <w:lang w:eastAsia="lt-LT"/>
        </w:rPr>
      </w:pPr>
      <w:r w:rsidRPr="00D06D70">
        <w:rPr>
          <w:lang w:eastAsia="lt-LT"/>
        </w:rPr>
        <w:t>6.1. mokyklos personalo darbuotojų, kurie nėra išlaikomi iš mokymo lėšų, darbo užmokesčiui ir socialinio draudimo įmokoms</w:t>
      </w:r>
      <w:r w:rsidR="00235514">
        <w:rPr>
          <w:lang w:eastAsia="lt-LT"/>
        </w:rPr>
        <w:t xml:space="preserve"> bei </w:t>
      </w:r>
      <w:r w:rsidRPr="00D06D70">
        <w:rPr>
          <w:lang w:eastAsia="lt-LT"/>
        </w:rPr>
        <w:t xml:space="preserve">informacines ir komunikacines technologijas aptarnaujančių darbuotojų darbo užmokesčiui ir socialinio draudimo įmokoms, jei šioms išlaidoms padengti </w:t>
      </w:r>
      <w:r w:rsidRPr="00D06D70">
        <w:rPr>
          <w:lang w:eastAsia="lt-LT"/>
        </w:rPr>
        <w:lastRenderedPageBreak/>
        <w:t>nepakanka mokymo lėšų. Lėšos darbo užmokesčiui skiriamos pagal įstaigos vadovo patvirtintą pareigybių sąrašą bei patvirtintus pareiginės algos koeficientus ir darbo užmokesčio kintamai daliai;</w:t>
      </w:r>
    </w:p>
    <w:p w14:paraId="53079302" w14:textId="32C07D5F" w:rsidR="00D620E4" w:rsidRPr="00D06D70" w:rsidRDefault="00D620E4" w:rsidP="00D620E4">
      <w:pPr>
        <w:ind w:firstLine="720"/>
        <w:jc w:val="both"/>
        <w:rPr>
          <w:lang w:eastAsia="lt-LT"/>
        </w:rPr>
      </w:pPr>
      <w:r w:rsidRPr="00D06D70">
        <w:rPr>
          <w:lang w:eastAsia="lt-LT"/>
        </w:rPr>
        <w:t>6.2. prekių ir paslaugų įsigijimo išlaidoms, kurios netiesiogiai susijusios su švietimo procesu, kurios būtinos mokykloms (klasėms ar grupėms) išlaikyti ir negali būti padengiamos iš mokymo lėšų:</w:t>
      </w:r>
    </w:p>
    <w:p w14:paraId="649F926F" w14:textId="53E581A4" w:rsidR="00D620E4" w:rsidRPr="00D06D70" w:rsidRDefault="00D620E4" w:rsidP="00D620E4">
      <w:pPr>
        <w:ind w:firstLine="720"/>
        <w:jc w:val="both"/>
        <w:rPr>
          <w:lang w:eastAsia="lt-LT"/>
        </w:rPr>
      </w:pPr>
      <w:r w:rsidRPr="00D06D70">
        <w:rPr>
          <w:lang w:eastAsia="lt-LT"/>
        </w:rPr>
        <w:t>6.2.1. medikamentų ir medicininių prekių bei paslaugų įsigijimo išlaidoms;</w:t>
      </w:r>
    </w:p>
    <w:p w14:paraId="58C19CF1" w14:textId="49F3A82B" w:rsidR="00D620E4" w:rsidRPr="00D06D70" w:rsidRDefault="00D620E4" w:rsidP="00D620E4">
      <w:pPr>
        <w:ind w:firstLine="720"/>
        <w:jc w:val="both"/>
        <w:rPr>
          <w:lang w:eastAsia="lt-LT"/>
        </w:rPr>
      </w:pPr>
      <w:r w:rsidRPr="00D06D70">
        <w:rPr>
          <w:lang w:eastAsia="lt-LT"/>
        </w:rPr>
        <w:t xml:space="preserve">6.2.2. ryšių įrangos ir ryšių paslaugų </w:t>
      </w:r>
      <w:r w:rsidR="00E21BCB">
        <w:rPr>
          <w:lang w:eastAsia="lt-LT"/>
        </w:rPr>
        <w:t xml:space="preserve">įsigijimo </w:t>
      </w:r>
      <w:r w:rsidRPr="00D06D70">
        <w:rPr>
          <w:lang w:eastAsia="lt-LT"/>
        </w:rPr>
        <w:t>išlaidoms apmokėti;</w:t>
      </w:r>
    </w:p>
    <w:p w14:paraId="16AEA39E" w14:textId="77777777" w:rsidR="00D620E4" w:rsidRPr="00D06D70" w:rsidRDefault="00D620E4" w:rsidP="00D620E4">
      <w:pPr>
        <w:ind w:firstLine="720"/>
        <w:jc w:val="both"/>
        <w:rPr>
          <w:lang w:eastAsia="lt-LT"/>
        </w:rPr>
      </w:pPr>
      <w:r w:rsidRPr="00D06D70">
        <w:rPr>
          <w:lang w:eastAsia="lt-LT"/>
        </w:rPr>
        <w:t>6.2.3. transporto išlaikymo ir transporto paslaugų įsigijimo išlaidoms apmokėti;</w:t>
      </w:r>
    </w:p>
    <w:p w14:paraId="44C7A49D" w14:textId="265EA7A1" w:rsidR="00D620E4" w:rsidRPr="00D06D70" w:rsidRDefault="00D620E4" w:rsidP="00D620E4">
      <w:pPr>
        <w:ind w:firstLine="720"/>
        <w:jc w:val="both"/>
        <w:rPr>
          <w:lang w:eastAsia="lt-LT"/>
        </w:rPr>
      </w:pPr>
      <w:r w:rsidRPr="00D06D70">
        <w:rPr>
          <w:lang w:eastAsia="lt-LT"/>
        </w:rPr>
        <w:t xml:space="preserve">6.2.4. aprangos įsigijimo </w:t>
      </w:r>
      <w:r w:rsidR="00E21BCB">
        <w:rPr>
          <w:lang w:eastAsia="lt-LT"/>
        </w:rPr>
        <w:t xml:space="preserve">bei priežiūros </w:t>
      </w:r>
      <w:r w:rsidRPr="00D06D70">
        <w:rPr>
          <w:lang w:eastAsia="lt-LT"/>
        </w:rPr>
        <w:t>išlaidoms;</w:t>
      </w:r>
    </w:p>
    <w:p w14:paraId="3A02E810" w14:textId="2DB10020" w:rsidR="00D620E4" w:rsidRPr="00D06D70" w:rsidRDefault="00D620E4" w:rsidP="00D620E4">
      <w:pPr>
        <w:ind w:firstLine="720"/>
        <w:jc w:val="both"/>
        <w:rPr>
          <w:lang w:eastAsia="lt-LT"/>
        </w:rPr>
      </w:pPr>
      <w:r w:rsidRPr="00D06D70">
        <w:rPr>
          <w:lang w:eastAsia="lt-LT"/>
        </w:rPr>
        <w:t>6.2.5.</w:t>
      </w:r>
      <w:r w:rsidR="00AF178B">
        <w:rPr>
          <w:lang w:eastAsia="lt-LT"/>
        </w:rPr>
        <w:t xml:space="preserve"> </w:t>
      </w:r>
      <w:r w:rsidRPr="00D06D70">
        <w:rPr>
          <w:lang w:eastAsia="lt-LT"/>
        </w:rPr>
        <w:t>komandiruočių išlaidoms apmokėti</w:t>
      </w:r>
      <w:r w:rsidR="00E21BCB">
        <w:rPr>
          <w:lang w:eastAsia="lt-LT"/>
        </w:rPr>
        <w:t xml:space="preserve"> (išskyrus darbuotojus, išlaikomus iš mokymo lėšų)</w:t>
      </w:r>
      <w:r w:rsidRPr="00D06D70">
        <w:rPr>
          <w:lang w:eastAsia="lt-LT"/>
        </w:rPr>
        <w:t xml:space="preserve">; </w:t>
      </w:r>
    </w:p>
    <w:p w14:paraId="1C8D7D2A" w14:textId="77777777" w:rsidR="00D620E4" w:rsidRPr="00D06D70" w:rsidRDefault="00D620E4" w:rsidP="00D620E4">
      <w:pPr>
        <w:ind w:firstLine="720"/>
        <w:jc w:val="both"/>
        <w:rPr>
          <w:lang w:eastAsia="lt-LT"/>
        </w:rPr>
      </w:pPr>
      <w:r w:rsidRPr="00D06D70">
        <w:rPr>
          <w:lang w:eastAsia="lt-LT"/>
        </w:rPr>
        <w:t>6.2.6. materialiojo ir nematerialiojo turto nuomos išlaidoms apmokėti;</w:t>
      </w:r>
    </w:p>
    <w:p w14:paraId="7B077571" w14:textId="77777777" w:rsidR="00D620E4" w:rsidRPr="00D06D70" w:rsidRDefault="00D620E4" w:rsidP="00D620E4">
      <w:pPr>
        <w:ind w:firstLine="720"/>
        <w:jc w:val="both"/>
        <w:rPr>
          <w:lang w:eastAsia="lt-LT"/>
        </w:rPr>
      </w:pPr>
      <w:r w:rsidRPr="00D06D70">
        <w:rPr>
          <w:lang w:eastAsia="lt-LT"/>
        </w:rPr>
        <w:t>6.2.7. materialiojo turto paprastojo remonto prekių ir paslaugų įsigijimo išlaidoms apmokėti;</w:t>
      </w:r>
    </w:p>
    <w:p w14:paraId="6831714D" w14:textId="77777777" w:rsidR="00D620E4" w:rsidRPr="00D06D70" w:rsidRDefault="00D620E4" w:rsidP="00D620E4">
      <w:pPr>
        <w:ind w:firstLine="720"/>
        <w:jc w:val="both"/>
        <w:rPr>
          <w:b/>
          <w:lang w:eastAsia="lt-LT"/>
        </w:rPr>
      </w:pPr>
      <w:r w:rsidRPr="00D06D70">
        <w:rPr>
          <w:bCs/>
          <w:lang w:eastAsia="lt-LT"/>
        </w:rPr>
        <w:t>6.2.8.</w:t>
      </w:r>
      <w:r w:rsidRPr="00D06D70">
        <w:rPr>
          <w:b/>
          <w:lang w:eastAsia="lt-LT"/>
        </w:rPr>
        <w:t xml:space="preserve"> </w:t>
      </w:r>
      <w:r w:rsidRPr="00D06D70">
        <w:rPr>
          <w:lang w:eastAsia="lt-LT"/>
        </w:rPr>
        <w:t>kvalifikacijos kėlimo išlaidoms apmokėti mokyklos personalui (išskyrus darbuotojus, išlaikomus iš mokymo lėšų)</w:t>
      </w:r>
      <w:r w:rsidRPr="00D06D70">
        <w:rPr>
          <w:bCs/>
          <w:lang w:eastAsia="lt-LT"/>
        </w:rPr>
        <w:t xml:space="preserve">; </w:t>
      </w:r>
    </w:p>
    <w:p w14:paraId="4BD47D8D" w14:textId="77777777" w:rsidR="00D620E4" w:rsidRPr="00D06D70" w:rsidRDefault="00D620E4" w:rsidP="00D620E4">
      <w:pPr>
        <w:ind w:firstLine="720"/>
        <w:jc w:val="both"/>
        <w:rPr>
          <w:lang w:eastAsia="lt-LT"/>
        </w:rPr>
      </w:pPr>
      <w:r w:rsidRPr="00D06D70">
        <w:rPr>
          <w:lang w:eastAsia="lt-LT"/>
        </w:rPr>
        <w:t>6.2.9. komunalinių paslaugų (šildymo, elektros energijos, vandentiekio ir kanalizacijos, šiukšlių išvežimo) išlaidoms apmokėti;</w:t>
      </w:r>
    </w:p>
    <w:p w14:paraId="31E15740" w14:textId="77777777" w:rsidR="00D620E4" w:rsidRPr="00D06D70" w:rsidRDefault="00D620E4" w:rsidP="00D620E4">
      <w:pPr>
        <w:ind w:firstLine="720"/>
        <w:jc w:val="both"/>
        <w:rPr>
          <w:lang w:eastAsia="lt-LT"/>
        </w:rPr>
      </w:pPr>
      <w:r w:rsidRPr="00D06D70">
        <w:rPr>
          <w:lang w:eastAsia="lt-LT"/>
        </w:rPr>
        <w:t>6.2.10. informacinių technologijų prekių ir paslaugų įsigijimo išlaidoms apmokėti;</w:t>
      </w:r>
    </w:p>
    <w:p w14:paraId="2CDD019A" w14:textId="4C7D922D" w:rsidR="00D620E4" w:rsidRPr="00D06D70" w:rsidRDefault="00D620E4" w:rsidP="00D620E4">
      <w:pPr>
        <w:ind w:firstLine="720"/>
        <w:jc w:val="both"/>
        <w:rPr>
          <w:lang w:eastAsia="lt-LT"/>
        </w:rPr>
      </w:pPr>
      <w:r w:rsidRPr="00D06D70">
        <w:rPr>
          <w:lang w:eastAsia="lt-LT"/>
        </w:rPr>
        <w:t>6.2.11. kitų prekių ir paslaugų įsigijimo išlaidoms</w:t>
      </w:r>
      <w:r w:rsidR="00E21BCB">
        <w:rPr>
          <w:lang w:eastAsia="lt-LT"/>
        </w:rPr>
        <w:t xml:space="preserve">; </w:t>
      </w:r>
    </w:p>
    <w:p w14:paraId="35933222" w14:textId="77777777" w:rsidR="00D620E4" w:rsidRPr="00D06D70" w:rsidRDefault="00D620E4" w:rsidP="00D620E4">
      <w:pPr>
        <w:ind w:firstLine="720"/>
        <w:jc w:val="both"/>
        <w:rPr>
          <w:lang w:eastAsia="lt-LT"/>
        </w:rPr>
      </w:pPr>
      <w:r w:rsidRPr="00D06D70">
        <w:rPr>
          <w:lang w:eastAsia="lt-LT"/>
        </w:rPr>
        <w:t>6.2.12. darbdavių socialinės paramos išlaidoms apmokėti.</w:t>
      </w:r>
    </w:p>
    <w:p w14:paraId="6AF71D3D" w14:textId="05A86CD9" w:rsidR="00D620E4" w:rsidRPr="00D06D70" w:rsidRDefault="00D620E4" w:rsidP="00D620E4">
      <w:pPr>
        <w:ind w:firstLine="720"/>
        <w:jc w:val="both"/>
        <w:rPr>
          <w:lang w:eastAsia="lt-LT"/>
        </w:rPr>
      </w:pPr>
      <w:r w:rsidRPr="00D06D70">
        <w:rPr>
          <w:lang w:eastAsia="lt-LT"/>
        </w:rPr>
        <w:t>7. Pasibaigus kalendoriniams metams nepanaudotas ūkio lėšas asignavimų valdytojai perveda į savivaldybės biudžeto sąskaitą finansų skyrius nustatytais terminais, finansų skyrius – į  valstybės biudžeto sąskaitą  Švietimo, mokslo ir sporto ministerijos nustatytais terminais.</w:t>
      </w:r>
    </w:p>
    <w:p w14:paraId="252993AA" w14:textId="77777777" w:rsidR="00D620E4" w:rsidRPr="00D06D70" w:rsidRDefault="00D620E4" w:rsidP="00D620E4">
      <w:pPr>
        <w:jc w:val="center"/>
        <w:rPr>
          <w:b/>
          <w:lang w:eastAsia="lt-LT"/>
        </w:rPr>
      </w:pPr>
    </w:p>
    <w:p w14:paraId="4712A6D1" w14:textId="77777777" w:rsidR="00D620E4" w:rsidRPr="00D06D70" w:rsidRDefault="00D620E4" w:rsidP="00D620E4">
      <w:pPr>
        <w:jc w:val="center"/>
        <w:rPr>
          <w:b/>
          <w:lang w:eastAsia="lt-LT"/>
        </w:rPr>
      </w:pPr>
      <w:r w:rsidRPr="00D06D70">
        <w:rPr>
          <w:b/>
          <w:lang w:eastAsia="lt-LT"/>
        </w:rPr>
        <w:t>III SKYRIUS</w:t>
      </w:r>
    </w:p>
    <w:p w14:paraId="31967366" w14:textId="77777777" w:rsidR="00D620E4" w:rsidRPr="00D06D70" w:rsidRDefault="00D620E4" w:rsidP="00D620E4">
      <w:pPr>
        <w:ind w:firstLine="62"/>
        <w:jc w:val="center"/>
        <w:rPr>
          <w:b/>
          <w:lang w:eastAsia="lt-LT"/>
        </w:rPr>
      </w:pPr>
      <w:r w:rsidRPr="00D06D70">
        <w:rPr>
          <w:b/>
          <w:lang w:eastAsia="lt-LT"/>
        </w:rPr>
        <w:t>ŪKIO LĖŠŲ NAUDOJIMO KONTROLĖ</w:t>
      </w:r>
    </w:p>
    <w:p w14:paraId="73D5D0DD" w14:textId="77777777" w:rsidR="00D620E4" w:rsidRPr="00D06D70" w:rsidRDefault="00D620E4" w:rsidP="00D620E4">
      <w:pPr>
        <w:ind w:firstLine="62"/>
        <w:jc w:val="center"/>
        <w:rPr>
          <w:b/>
          <w:lang w:eastAsia="lt-LT"/>
        </w:rPr>
      </w:pPr>
    </w:p>
    <w:p w14:paraId="6CBAB30E" w14:textId="77777777" w:rsidR="00D620E4" w:rsidRPr="00D06D70" w:rsidRDefault="00D620E4" w:rsidP="00D620E4">
      <w:pPr>
        <w:ind w:firstLine="720"/>
        <w:jc w:val="both"/>
        <w:rPr>
          <w:lang w:eastAsia="lt-LT"/>
        </w:rPr>
      </w:pPr>
      <w:r w:rsidRPr="00D06D70">
        <w:rPr>
          <w:lang w:eastAsia="lt-LT"/>
        </w:rPr>
        <w:t>8. Įstaigos, kuriai skiriamos ūkio lėšos, vadovas patvirtina šių lėšų naudojimo tvarką ir yra atsakingas už lėšų naudojimą pagal paskirtį.</w:t>
      </w:r>
    </w:p>
    <w:p w14:paraId="51741B31" w14:textId="7E3169AC" w:rsidR="00D620E4" w:rsidRPr="00D06D70" w:rsidRDefault="00D620E4" w:rsidP="00AF178B">
      <w:pPr>
        <w:ind w:firstLine="720"/>
        <w:jc w:val="both"/>
        <w:rPr>
          <w:lang w:eastAsia="lt-LT"/>
        </w:rPr>
      </w:pPr>
      <w:r w:rsidRPr="00D06D70">
        <w:rPr>
          <w:lang w:eastAsia="lt-LT"/>
        </w:rPr>
        <w:t>9. Ūkio lėšų kontrolės procedūros numatytos Rokiškio rajono savivaldybės tarybos sprendimu patvirtintame Rokiškio rajono savivaldybės biudžeto sudarymo</w:t>
      </w:r>
      <w:r w:rsidR="002E41F8">
        <w:rPr>
          <w:lang w:eastAsia="lt-LT"/>
        </w:rPr>
        <w:t>,</w:t>
      </w:r>
      <w:r w:rsidRPr="00D06D70">
        <w:rPr>
          <w:lang w:eastAsia="lt-LT"/>
        </w:rPr>
        <w:t xml:space="preserve"> vykdymo</w:t>
      </w:r>
      <w:r w:rsidR="002E41F8">
        <w:rPr>
          <w:lang w:eastAsia="lt-LT"/>
        </w:rPr>
        <w:t xml:space="preserve"> ir </w:t>
      </w:r>
      <w:r w:rsidRPr="00D06D70">
        <w:rPr>
          <w:lang w:eastAsia="lt-LT"/>
        </w:rPr>
        <w:t>atskaitomybės tvarkos apraše, Apskaitos paslaugų teikimo sutartyse ir kituose teisės aktuose, reglamentuojančiuose viešojo sektoriaus subjektų finansų kontrolę.</w:t>
      </w:r>
    </w:p>
    <w:p w14:paraId="507D8A58" w14:textId="77777777" w:rsidR="00D620E4" w:rsidRPr="00D06D70" w:rsidRDefault="00D620E4" w:rsidP="00EF27FB">
      <w:pPr>
        <w:tabs>
          <w:tab w:val="left" w:pos="5245"/>
          <w:tab w:val="left" w:pos="5387"/>
        </w:tabs>
        <w:ind w:left="5387"/>
      </w:pPr>
    </w:p>
    <w:p w14:paraId="297B8996" w14:textId="77777777" w:rsidR="00D620E4" w:rsidRPr="00D06D70" w:rsidRDefault="00D620E4" w:rsidP="00EF27FB">
      <w:pPr>
        <w:tabs>
          <w:tab w:val="left" w:pos="5245"/>
          <w:tab w:val="left" w:pos="5387"/>
        </w:tabs>
        <w:ind w:left="5387"/>
      </w:pPr>
    </w:p>
    <w:p w14:paraId="314E71C7" w14:textId="77777777" w:rsidR="00D620E4" w:rsidRPr="00D06D70" w:rsidRDefault="00D620E4" w:rsidP="00EF27FB">
      <w:pPr>
        <w:tabs>
          <w:tab w:val="left" w:pos="5245"/>
          <w:tab w:val="left" w:pos="5387"/>
        </w:tabs>
        <w:ind w:left="5387"/>
      </w:pPr>
    </w:p>
    <w:p w14:paraId="4465BAFA" w14:textId="1ADA9A31" w:rsidR="00D620E4" w:rsidRPr="00B41E5D" w:rsidRDefault="00B41E5D" w:rsidP="00B41E5D">
      <w:pPr>
        <w:jc w:val="center"/>
        <w:rPr>
          <w:u w:val="single"/>
        </w:rPr>
      </w:pPr>
      <w:r>
        <w:rPr>
          <w:u w:val="single"/>
        </w:rPr>
        <w:tab/>
      </w:r>
      <w:r>
        <w:rPr>
          <w:u w:val="single"/>
        </w:rPr>
        <w:tab/>
      </w:r>
      <w:r>
        <w:rPr>
          <w:u w:val="single"/>
        </w:rPr>
        <w:tab/>
      </w:r>
    </w:p>
    <w:p w14:paraId="08058480" w14:textId="77777777" w:rsidR="00D620E4" w:rsidRPr="00D06D70" w:rsidRDefault="00D620E4" w:rsidP="00EF27FB">
      <w:pPr>
        <w:tabs>
          <w:tab w:val="left" w:pos="5245"/>
          <w:tab w:val="left" w:pos="5387"/>
        </w:tabs>
        <w:ind w:left="5387"/>
      </w:pPr>
    </w:p>
    <w:p w14:paraId="0ED58863" w14:textId="77777777" w:rsidR="00D620E4" w:rsidRDefault="00D620E4" w:rsidP="00EF27FB">
      <w:pPr>
        <w:tabs>
          <w:tab w:val="left" w:pos="5245"/>
          <w:tab w:val="left" w:pos="5387"/>
        </w:tabs>
        <w:ind w:left="5387"/>
      </w:pPr>
    </w:p>
    <w:p w14:paraId="6765A336" w14:textId="77777777" w:rsidR="00B41E5D" w:rsidRPr="00D06D70" w:rsidRDefault="00B41E5D" w:rsidP="00EF27FB">
      <w:pPr>
        <w:tabs>
          <w:tab w:val="left" w:pos="5245"/>
          <w:tab w:val="left" w:pos="5387"/>
        </w:tabs>
        <w:ind w:left="5387"/>
      </w:pPr>
    </w:p>
    <w:p w14:paraId="5052ED64" w14:textId="77777777" w:rsidR="00D620E4" w:rsidRPr="00D06D70" w:rsidRDefault="00D620E4" w:rsidP="00EF27FB">
      <w:pPr>
        <w:tabs>
          <w:tab w:val="left" w:pos="5245"/>
          <w:tab w:val="left" w:pos="5387"/>
        </w:tabs>
        <w:ind w:left="5387"/>
      </w:pPr>
    </w:p>
    <w:p w14:paraId="4CDA417F" w14:textId="77777777" w:rsidR="00B41E5D" w:rsidRDefault="00B41E5D" w:rsidP="00EF27FB">
      <w:pPr>
        <w:tabs>
          <w:tab w:val="left" w:pos="5245"/>
          <w:tab w:val="left" w:pos="5387"/>
        </w:tabs>
        <w:ind w:left="5387"/>
      </w:pPr>
    </w:p>
    <w:p w14:paraId="2919D369" w14:textId="77777777" w:rsidR="00B41E5D" w:rsidRDefault="00B41E5D" w:rsidP="00EF27FB">
      <w:pPr>
        <w:tabs>
          <w:tab w:val="left" w:pos="5245"/>
          <w:tab w:val="left" w:pos="5387"/>
        </w:tabs>
        <w:ind w:left="5387"/>
      </w:pPr>
    </w:p>
    <w:p w14:paraId="70681EC6" w14:textId="77777777" w:rsidR="00B41E5D" w:rsidRDefault="00B41E5D" w:rsidP="00EF27FB">
      <w:pPr>
        <w:tabs>
          <w:tab w:val="left" w:pos="5245"/>
          <w:tab w:val="left" w:pos="5387"/>
        </w:tabs>
        <w:ind w:left="5387"/>
      </w:pPr>
    </w:p>
    <w:p w14:paraId="51B22C14" w14:textId="77777777" w:rsidR="00B41E5D" w:rsidRDefault="00B41E5D" w:rsidP="00EF27FB">
      <w:pPr>
        <w:tabs>
          <w:tab w:val="left" w:pos="5245"/>
          <w:tab w:val="left" w:pos="5387"/>
        </w:tabs>
        <w:ind w:left="5387"/>
      </w:pPr>
    </w:p>
    <w:p w14:paraId="50577CBA" w14:textId="77777777" w:rsidR="00B41E5D" w:rsidRDefault="00B41E5D" w:rsidP="00EF27FB">
      <w:pPr>
        <w:tabs>
          <w:tab w:val="left" w:pos="5245"/>
          <w:tab w:val="left" w:pos="5387"/>
        </w:tabs>
        <w:ind w:left="5387"/>
      </w:pPr>
    </w:p>
    <w:p w14:paraId="3352420D" w14:textId="77777777" w:rsidR="00B41E5D" w:rsidRDefault="00B41E5D" w:rsidP="00EF27FB">
      <w:pPr>
        <w:tabs>
          <w:tab w:val="left" w:pos="5245"/>
          <w:tab w:val="left" w:pos="5387"/>
        </w:tabs>
        <w:ind w:left="5387"/>
      </w:pPr>
    </w:p>
    <w:p w14:paraId="643A4994" w14:textId="77777777" w:rsidR="00B41E5D" w:rsidRDefault="00B41E5D" w:rsidP="00EF27FB">
      <w:pPr>
        <w:tabs>
          <w:tab w:val="left" w:pos="5245"/>
          <w:tab w:val="left" w:pos="5387"/>
        </w:tabs>
        <w:ind w:left="5387"/>
      </w:pPr>
    </w:p>
    <w:p w14:paraId="5FE82A6B" w14:textId="77777777" w:rsidR="00B41E5D" w:rsidRDefault="00B41E5D" w:rsidP="00EF27FB">
      <w:pPr>
        <w:tabs>
          <w:tab w:val="left" w:pos="5245"/>
          <w:tab w:val="left" w:pos="5387"/>
        </w:tabs>
        <w:ind w:left="5387"/>
      </w:pPr>
    </w:p>
    <w:p w14:paraId="4D683325" w14:textId="77777777" w:rsidR="00B41E5D" w:rsidRDefault="00B41E5D" w:rsidP="00EF27FB">
      <w:pPr>
        <w:tabs>
          <w:tab w:val="left" w:pos="5245"/>
          <w:tab w:val="left" w:pos="5387"/>
        </w:tabs>
        <w:ind w:left="5387"/>
      </w:pPr>
    </w:p>
    <w:p w14:paraId="6CDF5BF7" w14:textId="77777777" w:rsidR="00B41E5D" w:rsidRDefault="00B41E5D" w:rsidP="00EF27FB">
      <w:pPr>
        <w:tabs>
          <w:tab w:val="left" w:pos="5245"/>
          <w:tab w:val="left" w:pos="5387"/>
        </w:tabs>
        <w:ind w:left="5387"/>
      </w:pPr>
    </w:p>
    <w:p w14:paraId="4B9AF836" w14:textId="77777777" w:rsidR="00B853A9" w:rsidRDefault="00B853A9" w:rsidP="00EF27FB">
      <w:pPr>
        <w:jc w:val="center"/>
        <w:rPr>
          <w:b/>
        </w:rPr>
      </w:pPr>
    </w:p>
    <w:p w14:paraId="1F7A30DB" w14:textId="77777777" w:rsidR="00AF178B" w:rsidRPr="00D06D70" w:rsidRDefault="00AF178B" w:rsidP="00EF27FB">
      <w:pPr>
        <w:jc w:val="center"/>
        <w:rPr>
          <w:b/>
        </w:rPr>
      </w:pPr>
    </w:p>
    <w:p w14:paraId="58F37736" w14:textId="398B87B7" w:rsidR="00EF27FB" w:rsidRPr="00D06D70" w:rsidRDefault="00EF27FB" w:rsidP="00AF0B25">
      <w:pPr>
        <w:rPr>
          <w:lang w:eastAsia="zh-CN"/>
        </w:rPr>
      </w:pPr>
    </w:p>
    <w:sectPr w:rsidR="00EF27FB" w:rsidRPr="00D06D70" w:rsidSect="00012927">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30B2" w14:textId="77777777" w:rsidR="00012927" w:rsidRPr="00D06D70" w:rsidRDefault="00012927" w:rsidP="00F86F3B">
      <w:r w:rsidRPr="00D06D70">
        <w:separator/>
      </w:r>
    </w:p>
  </w:endnote>
  <w:endnote w:type="continuationSeparator" w:id="0">
    <w:p w14:paraId="0171338F" w14:textId="77777777" w:rsidR="00012927" w:rsidRPr="00D06D70" w:rsidRDefault="00012927" w:rsidP="00F86F3B">
      <w:r w:rsidRPr="00D06D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2E41" w14:textId="77777777" w:rsidR="00012927" w:rsidRPr="00D06D70" w:rsidRDefault="00012927" w:rsidP="00F86F3B">
      <w:r w:rsidRPr="00D06D70">
        <w:separator/>
      </w:r>
    </w:p>
  </w:footnote>
  <w:footnote w:type="continuationSeparator" w:id="0">
    <w:p w14:paraId="607E0BA6" w14:textId="77777777" w:rsidR="00012927" w:rsidRPr="00D06D70" w:rsidRDefault="00012927" w:rsidP="00F86F3B">
      <w:r w:rsidRPr="00D06D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542" w14:textId="26FCFFD0" w:rsidR="00F86F3B" w:rsidRPr="00D06D70" w:rsidRDefault="00F86F3B" w:rsidP="00F86F3B">
    <w:pPr>
      <w:pStyle w:val="Antrats"/>
      <w:jc w:val="right"/>
    </w:pPr>
    <w:r w:rsidRPr="00D06D70">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9E1A47"/>
    <w:multiLevelType w:val="hybridMultilevel"/>
    <w:tmpl w:val="7334F2E0"/>
    <w:lvl w:ilvl="0" w:tplc="FB6C179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A6E6721"/>
    <w:multiLevelType w:val="hybridMultilevel"/>
    <w:tmpl w:val="D2EEA910"/>
    <w:lvl w:ilvl="0" w:tplc="BC104D0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5" w15:restartNumberingAfterBreak="0">
    <w:nsid w:val="681C52B1"/>
    <w:multiLevelType w:val="hybridMultilevel"/>
    <w:tmpl w:val="B1B4E8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80971508">
    <w:abstractNumId w:val="3"/>
  </w:num>
  <w:num w:numId="2" w16cid:durableId="1354918751">
    <w:abstractNumId w:val="6"/>
  </w:num>
  <w:num w:numId="3" w16cid:durableId="1139034074">
    <w:abstractNumId w:val="1"/>
  </w:num>
  <w:num w:numId="4" w16cid:durableId="1490750749">
    <w:abstractNumId w:val="0"/>
  </w:num>
  <w:num w:numId="5" w16cid:durableId="164635145">
    <w:abstractNumId w:val="4"/>
  </w:num>
  <w:num w:numId="6" w16cid:durableId="2041318814">
    <w:abstractNumId w:val="2"/>
  </w:num>
  <w:num w:numId="7" w16cid:durableId="86163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05DD3"/>
    <w:rsid w:val="00012927"/>
    <w:rsid w:val="000130CB"/>
    <w:rsid w:val="00036ECF"/>
    <w:rsid w:val="000514FD"/>
    <w:rsid w:val="0005172D"/>
    <w:rsid w:val="00076C82"/>
    <w:rsid w:val="00077F00"/>
    <w:rsid w:val="00080E20"/>
    <w:rsid w:val="000823D2"/>
    <w:rsid w:val="0008275E"/>
    <w:rsid w:val="000905FA"/>
    <w:rsid w:val="000960BF"/>
    <w:rsid w:val="000A421F"/>
    <w:rsid w:val="000B136E"/>
    <w:rsid w:val="000B3ED8"/>
    <w:rsid w:val="000C121C"/>
    <w:rsid w:val="000C2013"/>
    <w:rsid w:val="000C5B69"/>
    <w:rsid w:val="000D10A2"/>
    <w:rsid w:val="000F443D"/>
    <w:rsid w:val="001118C0"/>
    <w:rsid w:val="001149AD"/>
    <w:rsid w:val="001218ED"/>
    <w:rsid w:val="00157936"/>
    <w:rsid w:val="00174822"/>
    <w:rsid w:val="00182F7D"/>
    <w:rsid w:val="00190F98"/>
    <w:rsid w:val="001A7157"/>
    <w:rsid w:val="001B25E7"/>
    <w:rsid w:val="001B4FEF"/>
    <w:rsid w:val="001C103B"/>
    <w:rsid w:val="001D795C"/>
    <w:rsid w:val="001E1E14"/>
    <w:rsid w:val="001E22DC"/>
    <w:rsid w:val="001E3DC7"/>
    <w:rsid w:val="001E3F30"/>
    <w:rsid w:val="001F22A8"/>
    <w:rsid w:val="00207CF5"/>
    <w:rsid w:val="00220F27"/>
    <w:rsid w:val="00226257"/>
    <w:rsid w:val="00231324"/>
    <w:rsid w:val="00235514"/>
    <w:rsid w:val="00237C28"/>
    <w:rsid w:val="002408AF"/>
    <w:rsid w:val="00251E01"/>
    <w:rsid w:val="00260A69"/>
    <w:rsid w:val="00261DCF"/>
    <w:rsid w:val="00272BE3"/>
    <w:rsid w:val="00273D86"/>
    <w:rsid w:val="002767A2"/>
    <w:rsid w:val="00281835"/>
    <w:rsid w:val="002952A0"/>
    <w:rsid w:val="00296118"/>
    <w:rsid w:val="002A59E7"/>
    <w:rsid w:val="002C4DDE"/>
    <w:rsid w:val="002D0E9D"/>
    <w:rsid w:val="002D2E72"/>
    <w:rsid w:val="002E310A"/>
    <w:rsid w:val="002E41F8"/>
    <w:rsid w:val="002F1766"/>
    <w:rsid w:val="002F457C"/>
    <w:rsid w:val="00300A45"/>
    <w:rsid w:val="0031204E"/>
    <w:rsid w:val="003223F3"/>
    <w:rsid w:val="00322410"/>
    <w:rsid w:val="00325005"/>
    <w:rsid w:val="0032517C"/>
    <w:rsid w:val="00341964"/>
    <w:rsid w:val="00342AF2"/>
    <w:rsid w:val="003439D7"/>
    <w:rsid w:val="00371C76"/>
    <w:rsid w:val="00391A5E"/>
    <w:rsid w:val="003A536C"/>
    <w:rsid w:val="003B2F45"/>
    <w:rsid w:val="003B783A"/>
    <w:rsid w:val="003C7644"/>
    <w:rsid w:val="003D6D41"/>
    <w:rsid w:val="003F5FCF"/>
    <w:rsid w:val="0040189D"/>
    <w:rsid w:val="00411999"/>
    <w:rsid w:val="004209E4"/>
    <w:rsid w:val="004258AE"/>
    <w:rsid w:val="00425954"/>
    <w:rsid w:val="0043130F"/>
    <w:rsid w:val="00456D56"/>
    <w:rsid w:val="00464C6F"/>
    <w:rsid w:val="00470EA9"/>
    <w:rsid w:val="00473F40"/>
    <w:rsid w:val="0047520D"/>
    <w:rsid w:val="00482F6C"/>
    <w:rsid w:val="00486ACC"/>
    <w:rsid w:val="004E34D7"/>
    <w:rsid w:val="004E649F"/>
    <w:rsid w:val="004F2030"/>
    <w:rsid w:val="00503E0C"/>
    <w:rsid w:val="00511E41"/>
    <w:rsid w:val="00526C06"/>
    <w:rsid w:val="00547453"/>
    <w:rsid w:val="00564081"/>
    <w:rsid w:val="005672DB"/>
    <w:rsid w:val="00567EF9"/>
    <w:rsid w:val="00572AE8"/>
    <w:rsid w:val="005777E7"/>
    <w:rsid w:val="005B0437"/>
    <w:rsid w:val="005B3006"/>
    <w:rsid w:val="005D2BAE"/>
    <w:rsid w:val="005D7B75"/>
    <w:rsid w:val="005E5562"/>
    <w:rsid w:val="005E6BBF"/>
    <w:rsid w:val="005F1EF8"/>
    <w:rsid w:val="00605F35"/>
    <w:rsid w:val="00606256"/>
    <w:rsid w:val="006074B1"/>
    <w:rsid w:val="00611653"/>
    <w:rsid w:val="00625BC2"/>
    <w:rsid w:val="0064097B"/>
    <w:rsid w:val="00645F51"/>
    <w:rsid w:val="00657585"/>
    <w:rsid w:val="00677203"/>
    <w:rsid w:val="00677881"/>
    <w:rsid w:val="006862DC"/>
    <w:rsid w:val="00692BEB"/>
    <w:rsid w:val="00697558"/>
    <w:rsid w:val="00697657"/>
    <w:rsid w:val="006A1716"/>
    <w:rsid w:val="006B1927"/>
    <w:rsid w:val="006B52F8"/>
    <w:rsid w:val="006B54BE"/>
    <w:rsid w:val="006C038B"/>
    <w:rsid w:val="006C4F6A"/>
    <w:rsid w:val="006C5982"/>
    <w:rsid w:val="006D434F"/>
    <w:rsid w:val="006E62A2"/>
    <w:rsid w:val="006F0620"/>
    <w:rsid w:val="006F3D5A"/>
    <w:rsid w:val="00700235"/>
    <w:rsid w:val="007137F3"/>
    <w:rsid w:val="007257A3"/>
    <w:rsid w:val="00747322"/>
    <w:rsid w:val="00754DEF"/>
    <w:rsid w:val="00775881"/>
    <w:rsid w:val="00777837"/>
    <w:rsid w:val="0078159B"/>
    <w:rsid w:val="00792B06"/>
    <w:rsid w:val="00795D6E"/>
    <w:rsid w:val="007B4528"/>
    <w:rsid w:val="007D0B74"/>
    <w:rsid w:val="007D0FAC"/>
    <w:rsid w:val="007F423C"/>
    <w:rsid w:val="007F561E"/>
    <w:rsid w:val="00801C32"/>
    <w:rsid w:val="0081242C"/>
    <w:rsid w:val="00817D7F"/>
    <w:rsid w:val="0082034E"/>
    <w:rsid w:val="00824C07"/>
    <w:rsid w:val="008520E4"/>
    <w:rsid w:val="00865CBB"/>
    <w:rsid w:val="0086655D"/>
    <w:rsid w:val="008808FF"/>
    <w:rsid w:val="00890EFB"/>
    <w:rsid w:val="0089399E"/>
    <w:rsid w:val="008953AB"/>
    <w:rsid w:val="008A03ED"/>
    <w:rsid w:val="008A4741"/>
    <w:rsid w:val="008B6451"/>
    <w:rsid w:val="008B73C0"/>
    <w:rsid w:val="008C0D6A"/>
    <w:rsid w:val="008C4C2B"/>
    <w:rsid w:val="008E53B0"/>
    <w:rsid w:val="00906CD0"/>
    <w:rsid w:val="009108C4"/>
    <w:rsid w:val="00942339"/>
    <w:rsid w:val="0095499F"/>
    <w:rsid w:val="00963A14"/>
    <w:rsid w:val="0096762A"/>
    <w:rsid w:val="00980716"/>
    <w:rsid w:val="009819CD"/>
    <w:rsid w:val="00991E78"/>
    <w:rsid w:val="009B1AD2"/>
    <w:rsid w:val="009B6426"/>
    <w:rsid w:val="009D1A86"/>
    <w:rsid w:val="009E327C"/>
    <w:rsid w:val="009E57A0"/>
    <w:rsid w:val="009E5D63"/>
    <w:rsid w:val="009F5123"/>
    <w:rsid w:val="00A01ECA"/>
    <w:rsid w:val="00A07573"/>
    <w:rsid w:val="00A16C7F"/>
    <w:rsid w:val="00A22F84"/>
    <w:rsid w:val="00A25177"/>
    <w:rsid w:val="00A32885"/>
    <w:rsid w:val="00A45212"/>
    <w:rsid w:val="00A579D3"/>
    <w:rsid w:val="00A67180"/>
    <w:rsid w:val="00A7561D"/>
    <w:rsid w:val="00A92EF9"/>
    <w:rsid w:val="00AA3FE5"/>
    <w:rsid w:val="00AA4FC4"/>
    <w:rsid w:val="00AF0B25"/>
    <w:rsid w:val="00AF178B"/>
    <w:rsid w:val="00AF3C17"/>
    <w:rsid w:val="00B03801"/>
    <w:rsid w:val="00B413F7"/>
    <w:rsid w:val="00B41E5D"/>
    <w:rsid w:val="00B4233C"/>
    <w:rsid w:val="00B450A1"/>
    <w:rsid w:val="00B623AF"/>
    <w:rsid w:val="00B63560"/>
    <w:rsid w:val="00B73490"/>
    <w:rsid w:val="00B76CBF"/>
    <w:rsid w:val="00B853A9"/>
    <w:rsid w:val="00B85DB2"/>
    <w:rsid w:val="00B87306"/>
    <w:rsid w:val="00BA3A81"/>
    <w:rsid w:val="00BB0FF6"/>
    <w:rsid w:val="00BB2CE1"/>
    <w:rsid w:val="00BC4AEC"/>
    <w:rsid w:val="00BD21F3"/>
    <w:rsid w:val="00BD230F"/>
    <w:rsid w:val="00BE1905"/>
    <w:rsid w:val="00BE1973"/>
    <w:rsid w:val="00BF261B"/>
    <w:rsid w:val="00BF7FC8"/>
    <w:rsid w:val="00C40922"/>
    <w:rsid w:val="00C439D2"/>
    <w:rsid w:val="00C447FF"/>
    <w:rsid w:val="00C53194"/>
    <w:rsid w:val="00C577F8"/>
    <w:rsid w:val="00C63B91"/>
    <w:rsid w:val="00C64644"/>
    <w:rsid w:val="00C82320"/>
    <w:rsid w:val="00C8739A"/>
    <w:rsid w:val="00C9041B"/>
    <w:rsid w:val="00C909F7"/>
    <w:rsid w:val="00C93BB8"/>
    <w:rsid w:val="00C96DFE"/>
    <w:rsid w:val="00C970AC"/>
    <w:rsid w:val="00CB0F4F"/>
    <w:rsid w:val="00CB4670"/>
    <w:rsid w:val="00CC53C2"/>
    <w:rsid w:val="00CC76DF"/>
    <w:rsid w:val="00CD4B85"/>
    <w:rsid w:val="00CE3EA1"/>
    <w:rsid w:val="00CF3BD9"/>
    <w:rsid w:val="00CF6923"/>
    <w:rsid w:val="00D06D70"/>
    <w:rsid w:val="00D217B3"/>
    <w:rsid w:val="00D2554F"/>
    <w:rsid w:val="00D46504"/>
    <w:rsid w:val="00D620E4"/>
    <w:rsid w:val="00D7645E"/>
    <w:rsid w:val="00D81C19"/>
    <w:rsid w:val="00D84B5D"/>
    <w:rsid w:val="00D9454F"/>
    <w:rsid w:val="00D979F3"/>
    <w:rsid w:val="00DA0742"/>
    <w:rsid w:val="00DA4FA2"/>
    <w:rsid w:val="00DA6E9D"/>
    <w:rsid w:val="00DC57C9"/>
    <w:rsid w:val="00DC6254"/>
    <w:rsid w:val="00DD0ADC"/>
    <w:rsid w:val="00DD4265"/>
    <w:rsid w:val="00DE438E"/>
    <w:rsid w:val="00E02EF6"/>
    <w:rsid w:val="00E17967"/>
    <w:rsid w:val="00E21BCB"/>
    <w:rsid w:val="00E273E8"/>
    <w:rsid w:val="00E34983"/>
    <w:rsid w:val="00E36306"/>
    <w:rsid w:val="00E418E4"/>
    <w:rsid w:val="00E43C23"/>
    <w:rsid w:val="00E45DA0"/>
    <w:rsid w:val="00E67C0D"/>
    <w:rsid w:val="00E76B61"/>
    <w:rsid w:val="00E9227C"/>
    <w:rsid w:val="00EB0700"/>
    <w:rsid w:val="00EB386C"/>
    <w:rsid w:val="00EB68F5"/>
    <w:rsid w:val="00EC00A6"/>
    <w:rsid w:val="00ED77B5"/>
    <w:rsid w:val="00EE109B"/>
    <w:rsid w:val="00EE14CC"/>
    <w:rsid w:val="00EF27FB"/>
    <w:rsid w:val="00F0770F"/>
    <w:rsid w:val="00F1726A"/>
    <w:rsid w:val="00F37A1D"/>
    <w:rsid w:val="00F57602"/>
    <w:rsid w:val="00F608A1"/>
    <w:rsid w:val="00F74A0B"/>
    <w:rsid w:val="00F77877"/>
    <w:rsid w:val="00F86F3B"/>
    <w:rsid w:val="00F9074E"/>
    <w:rsid w:val="00F90FC0"/>
    <w:rsid w:val="00FA2C82"/>
    <w:rsid w:val="00FC2D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15:docId w15:val="{C0E94BC5-17C5-4F3E-82F7-1291993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2A8"/>
    <w:pPr>
      <w:spacing w:after="0" w:line="240" w:lineRule="auto"/>
    </w:pPr>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 w:type="paragraph" w:customStyle="1" w:styleId="Default">
    <w:name w:val="Default"/>
    <w:rsid w:val="0043130F"/>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CF3BD9"/>
    <w:pPr>
      <w:spacing w:after="0" w:line="240" w:lineRule="auto"/>
    </w:pPr>
    <w:rPr>
      <w:rFonts w:ascii="Times New Roman" w:eastAsia="Times New Roman" w:hAnsi="Times New Roman" w:cs="Times New Roman"/>
      <w:sz w:val="24"/>
      <w:szCs w:val="24"/>
      <w:lang w:val="en-US"/>
    </w:rPr>
  </w:style>
  <w:style w:type="paragraph" w:styleId="Pataisymai">
    <w:name w:val="Revision"/>
    <w:hidden/>
    <w:uiPriority w:val="99"/>
    <w:semiHidden/>
    <w:rsid w:val="00342AF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593D-27C6-47E5-9191-044864E6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3459</Words>
  <Characters>1973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2024-01-29T09:02:00Z</cp:lastPrinted>
  <dcterms:created xsi:type="dcterms:W3CDTF">2024-02-02T08:33:00Z</dcterms:created>
  <dcterms:modified xsi:type="dcterms:W3CDTF">2024-02-02T08:34:00Z</dcterms:modified>
</cp:coreProperties>
</file>